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D" w:rsidRPr="004D2731" w:rsidRDefault="004D2731" w:rsidP="004D2731">
      <w:pPr>
        <w:spacing w:line="240" w:lineRule="auto"/>
        <w:rPr>
          <w:rFonts w:ascii="黑体" w:eastAsia="黑体" w:hAnsi="黑体" w:hint="eastAsia"/>
        </w:rPr>
      </w:pPr>
      <w:r w:rsidRPr="004D2731">
        <w:rPr>
          <w:rFonts w:ascii="黑体" w:eastAsia="黑体" w:hAnsi="黑体" w:hint="eastAsia"/>
        </w:rPr>
        <w:t>附件</w:t>
      </w:r>
    </w:p>
    <w:p w:rsidR="004D2731" w:rsidRPr="004D2731" w:rsidRDefault="004D2731" w:rsidP="004D273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2731">
        <w:rPr>
          <w:rFonts w:ascii="方正小标宋简体" w:eastAsia="方正小标宋简体" w:hint="eastAsia"/>
          <w:sz w:val="44"/>
          <w:szCs w:val="44"/>
        </w:rPr>
        <w:t>丽水市南明湖突发事件应急预案</w:t>
      </w:r>
    </w:p>
    <w:p w:rsidR="004D2731" w:rsidRDefault="004D2731" w:rsidP="004D2731">
      <w:pPr>
        <w:spacing w:line="240" w:lineRule="auto"/>
      </w:pPr>
    </w:p>
    <w:p w:rsidR="004D2731" w:rsidRPr="004D2731" w:rsidRDefault="004D2731" w:rsidP="004D2731">
      <w:pPr>
        <w:spacing w:line="240" w:lineRule="auto"/>
        <w:ind w:firstLineChars="200" w:firstLine="632"/>
        <w:rPr>
          <w:rFonts w:ascii="黑体" w:eastAsia="黑体" w:hAnsi="黑体" w:hint="eastAsia"/>
          <w:szCs w:val="32"/>
        </w:rPr>
      </w:pPr>
      <w:r w:rsidRPr="004D2731">
        <w:rPr>
          <w:rFonts w:ascii="黑体" w:eastAsia="黑体" w:hAnsi="黑体" w:hint="eastAsia"/>
          <w:szCs w:val="32"/>
        </w:rPr>
        <w:t>1 总则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1.1 编制目的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为增强南明湖保护管理的应急反应能力，提高突发事件应急处置水平，最大限度地保障人民群众的生命财产安全和生态环境安全，维护社会稳定。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1.2 编制依据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根据《中华人民共和国安全生产法》《中华人民共和国突发事件应对法》《丽水市南明湖保护管理条例》等法律法规，结合丽水市南明湖保护管理实际，制定本预案。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1.3 适用范围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丽水市南明湖水域内发生水质异常、污染等突发事件，适用本预案。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洪涝灾害、旅游事故、群体性事件以及上下游水域内的其他相关突发事件，需要在南明湖水域采取措施的，市水利行政部门积极配合责任单位做好防范和处置工作。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1.4 工作原则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（1）综合协调。协调有关行政主管部门、丽水开发区管委会和莲都区人民政府，履行南明湖突发事件相关职责，共享有关信息。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lastRenderedPageBreak/>
        <w:t>（2）预防为主。加强南明湖日常巡查，强调突发事件风险源的监督管理，提高南明湖突发事件预警防范能力。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（3）分工配合。市水利局有关处室按照各自职责，快速反应衔接，迅速配合行动，提出具体应对方案。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（4）高效处置。根据应急预案和具体应对方案，及时采取措施，确保处置有效。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黑体" w:eastAsia="黑体" w:hAnsi="黑体" w:hint="eastAsia"/>
          <w:szCs w:val="32"/>
        </w:rPr>
      </w:pPr>
      <w:r w:rsidRPr="004D2731">
        <w:rPr>
          <w:rFonts w:ascii="黑体" w:eastAsia="黑体" w:hAnsi="黑体" w:hint="eastAsia"/>
          <w:szCs w:val="32"/>
        </w:rPr>
        <w:t>2 机构与职责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2.1 机构构成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市水利局成立南明湖突发事件应急处置领导小组，局长担任组长，局领导班子成员担任副组长，各相关处室负责人为领导小组成员，领导小组下设办公室，办公室主任由南明湖管理所所长兼任。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2.2 处置职责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针对突发事件类型，及时进行调查。对属于市水利局职责范围内的事件，确定所造成的危害程度和事件等级，及时报告和续报，启动应急预案，发布预警。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2.3 协调职责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发生在南明湖区域内，对属于其他部门职责的突发事件，市水利部门发现后，应及时通报情况。其他部门启动应急处置程序的，市水利部门积极配合，落实专门人员对接、跟进并协助处理，全程参与。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黑体" w:eastAsia="黑体" w:hAnsi="黑体" w:hint="eastAsia"/>
          <w:szCs w:val="32"/>
        </w:rPr>
      </w:pPr>
      <w:r w:rsidRPr="004D2731">
        <w:rPr>
          <w:rFonts w:ascii="黑体" w:eastAsia="黑体" w:hAnsi="黑体" w:hint="eastAsia"/>
          <w:szCs w:val="32"/>
        </w:rPr>
        <w:t>3 应急处置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lastRenderedPageBreak/>
        <w:t>3.1 水利局职责范围内的突发事件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水利局负责南明湖水质异常、污染等突发事件应急处置，主要包括PH水质异常、湖泊死鱼、湖面油污、底泥污染、水华现象等类型。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仿宋_GB2312" w:hint="eastAsia"/>
          <w:b/>
          <w:szCs w:val="32"/>
        </w:rPr>
      </w:pPr>
      <w:r w:rsidRPr="004D2731">
        <w:rPr>
          <w:rFonts w:ascii="仿宋_GB2312" w:hint="eastAsia"/>
          <w:b/>
          <w:szCs w:val="32"/>
        </w:rPr>
        <w:t>3.1.1事件类别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分为一般事件和重大事件。各类事件中的标准界限，“以上”包括本数，“以下”不包括本数。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3.1.1.1一般事件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（1）水体PH值异常，上限达到8.5以上9.0以下，下限达到6.0以上6.5以下的；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（2）湖泊死鱼零星、多点爆发，死亡量在200公斤以下或每立方水体2公斤以下的；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（3）违法排放和泄漏引起的水面油污面积达到0.1平方公里以上、0.2平方公里以下的；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（4）底泥主要重金属含量超标达到国家标准值的2倍以下的；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（5）水体初具水华现象，藻细胞密度达到100万个/升以上，小于1000万个/升。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3.1.1.2 重大事件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（1）水体PH值异常，上限达到9.0以上，下限达到6.0以下；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（2）湖泊死鱼集中爆发，死亡量达到200公斤以上或每立</w:t>
      </w:r>
      <w:r w:rsidRPr="004D2731">
        <w:rPr>
          <w:rFonts w:ascii="仿宋_GB2312" w:hint="eastAsia"/>
          <w:szCs w:val="32"/>
        </w:rPr>
        <w:lastRenderedPageBreak/>
        <w:t>方水体2公斤以上；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（3）违法排放和泄漏引起的水面油污面积达到0.2平方公里以上；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（4）底泥主要重金属含量超标达到国家标准值的2倍以上；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（5）水体处于水华现象临界状态或水华现象发生，藻细胞密度达到1000万个/升以上。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仿宋_GB2312" w:hint="eastAsia"/>
          <w:b/>
          <w:szCs w:val="32"/>
        </w:rPr>
      </w:pPr>
      <w:r w:rsidRPr="004D2731">
        <w:rPr>
          <w:rFonts w:ascii="仿宋_GB2312" w:hint="eastAsia"/>
          <w:b/>
          <w:szCs w:val="32"/>
        </w:rPr>
        <w:t>3.1.2 处置程序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调查、报告。迅速组织力量对PH水质异常、湖泊死鱼、湖面油污、底泥污染、水华现象等突发事件进行现场调查，实施现场监测，查明原因，确定突发事件的影响范围和程度，提出建议，并实施临时处置措施。对于重大事件，立即报告上级机关，提升应急处置层级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（2）提出方案。及时提出PH水质异常、湖泊死鱼、湖面油污、底泥污染、水华现象等突发事件的处置方案，并实施处置。对重大事件，向上级部门提出建议和处置方案。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（3）处置。监测水环境处置效果，定期向应急处置领导小组报告处置情况，根据处置效果及时调整处置方案，以提高处置效率。对重大事件，服从上级指挥和调遣，认真完成工作任务。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（4）持续观测。PH水质异常、湖泊死鱼、湖面油污、底泥污染、水华现象突发事件经过处置后，根据效果不断改进具体措施或方案，并根据处置情况持续进行观察检测，直到各项主要指标恢复正常水平。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lastRenderedPageBreak/>
        <w:t>（5）应急结束。PH水质异常、湖泊死鱼、湖面油污、底泥污染、水华现象等突发事件经过处置完成后，应急处置领导小组确认处置成效，并发布公告，终止应急程序。市水利部门向市政府和上级部门书面报告处置经过，并说明处置成效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仿宋_GB2312" w:hint="eastAsia"/>
          <w:b/>
          <w:szCs w:val="32"/>
        </w:rPr>
      </w:pPr>
      <w:r w:rsidRPr="004D2731">
        <w:rPr>
          <w:rFonts w:ascii="仿宋_GB2312" w:hint="eastAsia"/>
          <w:b/>
          <w:szCs w:val="32"/>
        </w:rPr>
        <w:t>3.1.3 处置措施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3.1.3.1蓝藻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拦截打捞。采用生态围网对蓝藻进行拦截，并对蓝藻水华采用人工打捞或直接抽排，同时可利用纱网将蓝藻拖带到岸边水域后实施抽排打捞。为防止打捞的蓝藻二次污染，应将抽排出的蓝藻及时装袋处理。抽排除藻可用水泵抽排，水泵安排专人值守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（2）除藻消污。可使用化学除藻或抽排方法除去蓝藻。化学除藻可以喷洒聚合硫酸铝铁或改性粘土等絮凝剂进行絮凝，或喷洒除藻剂杀灭藻类，并采取措施，消除污染，净化水体。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（3）日常巡查。在蓝藻爆发期间，安排足够人员每日巡查，做好记录，建立台账，开展监测，每日上报。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3.1.3.2 湖泊死鱼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（1）打捞。组织人员、船只对湖面死鱼进行打捞并装袋，不得随意丢放。严格监督死鱼流向，不得私自贩卖，流向市场。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（2）处置。用封闭式垃圾车将死鱼运至处理场地，按照科学深埋等方法处置死鱼，并投撒生石灰消毒。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（3）加强观测。死鱼事件发生期间，特别加强湖泊鱼群密</w:t>
      </w:r>
      <w:r w:rsidRPr="004D2731">
        <w:rPr>
          <w:rFonts w:ascii="仿宋_GB2312" w:hint="eastAsia"/>
          <w:szCs w:val="32"/>
        </w:rPr>
        <w:lastRenderedPageBreak/>
        <w:t>度和其他水生动植物观测，及时掌握鱼群动态。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 xml:space="preserve">3.1.3.3 湖面油污 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（1）拦围。使用拦油带等设备将湖面油污集中拦围，控制油污扩散。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（2）收集。将湖面油污抽吸收集上船上岸，密封装载。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（3）处置。用封闭式工具车运至处理场地，交由专业机构处置，并采取各种措施净化水体。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3.1.3.4 底泥污染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（1）测定。及时组织力量或委托有关机构对底泥污染物进行检测，确定污染源。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修复。通过疏浚、引水冲淤、填沙掩蔽等物理措施，或向底泥施入化学修复剂等化学措施修复底泥，也可以利用培育植物、培养、接种的微生物的生物方法，对底泥中的污染物进行转移、转化及降解，以修复底泥。修复后可进一步利用水生植物进行水体养护，保护底泥。</w:t>
      </w:r>
    </w:p>
    <w:p w:rsidR="004D2731" w:rsidRPr="004D2731" w:rsidRDefault="004D2731" w:rsidP="004D2731">
      <w:pPr>
        <w:spacing w:line="240" w:lineRule="auto"/>
        <w:ind w:firstLineChars="200" w:firstLine="634"/>
        <w:rPr>
          <w:rFonts w:ascii="楷体_GB2312" w:eastAsia="楷体_GB2312" w:hint="eastAsia"/>
          <w:b/>
          <w:szCs w:val="32"/>
        </w:rPr>
      </w:pPr>
      <w:r w:rsidRPr="004D2731">
        <w:rPr>
          <w:rFonts w:ascii="楷体_GB2312" w:eastAsia="楷体_GB2312" w:hint="eastAsia"/>
          <w:b/>
          <w:szCs w:val="32"/>
        </w:rPr>
        <w:t>3.2 配合其他部门做好应急处置工作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（1）违法排放和泄漏等突发事件，应通报并协助市生态环境局处置；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（2）旅游事故，通报并协助市文化和广电旅游体育局处置；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（3）群体性事件，通报并协助市公安局处置；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（4）洪涝灾害，启动相应的应急预案；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（5）其他突发事件，根据相应规定通报并协助有关部门应</w:t>
      </w:r>
      <w:r w:rsidRPr="004D2731">
        <w:rPr>
          <w:rFonts w:ascii="仿宋_GB2312" w:hint="eastAsia"/>
          <w:szCs w:val="32"/>
        </w:rPr>
        <w:lastRenderedPageBreak/>
        <w:t>急处置。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黑体" w:eastAsia="黑体" w:hAnsi="黑体" w:hint="eastAsia"/>
          <w:szCs w:val="32"/>
        </w:rPr>
      </w:pPr>
      <w:r w:rsidRPr="004D2731">
        <w:rPr>
          <w:rFonts w:ascii="黑体" w:eastAsia="黑体" w:hAnsi="黑体" w:hint="eastAsia"/>
          <w:szCs w:val="32"/>
        </w:rPr>
        <w:t>4 应急保障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做好专业人员、经费、设备和物资等各方面保障。</w:t>
      </w:r>
    </w:p>
    <w:p w:rsidR="004D2731" w:rsidRPr="004D2731" w:rsidRDefault="004D2731" w:rsidP="004D2731">
      <w:pPr>
        <w:spacing w:line="240" w:lineRule="auto"/>
        <w:ind w:firstLineChars="200" w:firstLine="632"/>
        <w:rPr>
          <w:rFonts w:ascii="仿宋_GB2312" w:hint="eastAsia"/>
          <w:szCs w:val="32"/>
        </w:rPr>
      </w:pPr>
      <w:r w:rsidRPr="004D2731">
        <w:rPr>
          <w:rFonts w:ascii="仿宋_GB2312" w:hint="eastAsia"/>
          <w:szCs w:val="32"/>
        </w:rPr>
        <w:t>常用设备和物资如下：拦油带、抽水泵机、电缆推车、发电设备、水带、工作船舶等和施工围挡、潜水衣、打捞用具、药物喷洒装置、水生物防治药物、生石灰、除藻用絮凝剂等。</w:t>
      </w:r>
    </w:p>
    <w:sectPr w:rsidR="004D2731" w:rsidRPr="004D2731" w:rsidSect="004D2731">
      <w:footerReference w:type="default" r:id="rId6"/>
      <w:pgSz w:w="11906" w:h="16838" w:code="9"/>
      <w:pgMar w:top="1985" w:right="1474" w:bottom="1701" w:left="1588" w:header="851" w:footer="1134" w:gutter="0"/>
      <w:cols w:space="425"/>
      <w:docGrid w:type="linesAndChars" w:linePitch="59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53" w:rsidRDefault="001D0E53" w:rsidP="004D2731">
      <w:pPr>
        <w:spacing w:line="240" w:lineRule="auto"/>
      </w:pPr>
      <w:r>
        <w:separator/>
      </w:r>
    </w:p>
  </w:endnote>
  <w:endnote w:type="continuationSeparator" w:id="1">
    <w:p w:rsidR="001D0E53" w:rsidRDefault="001D0E53" w:rsidP="004D2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0483"/>
      <w:docPartObj>
        <w:docPartGallery w:val="Page Numbers (Bottom of Page)"/>
        <w:docPartUnique/>
      </w:docPartObj>
    </w:sdtPr>
    <w:sdtContent>
      <w:p w:rsidR="004D2731" w:rsidRDefault="004D2731" w:rsidP="004D2731">
        <w:pPr>
          <w:pStyle w:val="a4"/>
          <w:jc w:val="center"/>
        </w:pPr>
        <w:r w:rsidRPr="004D2731">
          <w:rPr>
            <w:rFonts w:asciiTheme="minorEastAsia" w:eastAsiaTheme="minorEastAsia" w:hAnsiTheme="minorEastAsia"/>
          </w:rPr>
          <w:fldChar w:fldCharType="begin"/>
        </w:r>
        <w:r w:rsidRPr="004D2731">
          <w:rPr>
            <w:rFonts w:asciiTheme="minorEastAsia" w:eastAsiaTheme="minorEastAsia" w:hAnsiTheme="minorEastAsia"/>
          </w:rPr>
          <w:instrText xml:space="preserve"> PAGE   \* MERGEFORMAT </w:instrText>
        </w:r>
        <w:r w:rsidRPr="004D2731">
          <w:rPr>
            <w:rFonts w:asciiTheme="minorEastAsia" w:eastAsiaTheme="minorEastAsia" w:hAnsiTheme="minorEastAsia"/>
          </w:rPr>
          <w:fldChar w:fldCharType="separate"/>
        </w:r>
        <w:r w:rsidRPr="004D2731">
          <w:rPr>
            <w:rFonts w:asciiTheme="minorEastAsia" w:eastAsiaTheme="minorEastAsia" w:hAnsiTheme="minorEastAsia"/>
            <w:noProof/>
            <w:lang w:val="zh-CN"/>
          </w:rPr>
          <w:t>7</w:t>
        </w:r>
        <w:r w:rsidRPr="004D2731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53" w:rsidRDefault="001D0E53" w:rsidP="004D2731">
      <w:pPr>
        <w:spacing w:line="240" w:lineRule="auto"/>
      </w:pPr>
      <w:r>
        <w:separator/>
      </w:r>
    </w:p>
  </w:footnote>
  <w:footnote w:type="continuationSeparator" w:id="1">
    <w:p w:rsidR="001D0E53" w:rsidRDefault="001D0E53" w:rsidP="004D2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9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731"/>
    <w:rsid w:val="001D0E53"/>
    <w:rsid w:val="0025525D"/>
    <w:rsid w:val="002F1B69"/>
    <w:rsid w:val="004D2731"/>
    <w:rsid w:val="0089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1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73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7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731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>MS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邹金香</dc:creator>
  <cp:lastModifiedBy>邹金香</cp:lastModifiedBy>
  <cp:revision>2</cp:revision>
  <dcterms:created xsi:type="dcterms:W3CDTF">2020-05-29T08:32:00Z</dcterms:created>
  <dcterms:modified xsi:type="dcterms:W3CDTF">2020-05-29T08:37:00Z</dcterms:modified>
</cp:coreProperties>
</file>